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6181" w14:textId="77777777" w:rsidR="00BD5B1B" w:rsidRDefault="00BD5B1B">
      <w:pPr>
        <w:pStyle w:val="BodyText"/>
        <w:spacing w:before="5"/>
        <w:ind w:left="0"/>
        <w:rPr>
          <w:rFonts w:ascii="Times New Roman"/>
          <w:sz w:val="20"/>
        </w:rPr>
      </w:pPr>
    </w:p>
    <w:p w14:paraId="7BE76183" w14:textId="516AC77B" w:rsidR="00BD5B1B" w:rsidRDefault="004F28E8" w:rsidP="0062074F">
      <w:pPr>
        <w:pStyle w:val="Heading1"/>
        <w:jc w:val="both"/>
      </w:pPr>
      <w:r>
        <w:t>Statement of Circumstances</w:t>
      </w:r>
    </w:p>
    <w:p w14:paraId="7BE76184" w14:textId="77777777" w:rsidR="00BD5B1B" w:rsidRDefault="004F28E8">
      <w:pPr>
        <w:pStyle w:val="BodyText"/>
        <w:ind w:left="100" w:right="113"/>
        <w:jc w:val="both"/>
      </w:pPr>
      <w:r>
        <w:t>T</w:t>
      </w:r>
      <w:r>
        <w:t>his Statement of Circumstances (“Statement”) is provided pursuant to the Competition and Consumer (Industry Codes—Dairy) Regulations 2019 (the Dairy Code of Conduct). This Statement sets out the circumstances in which Saint David Dairy Pty Ltd (Saint Davi</w:t>
      </w:r>
      <w:r>
        <w:t>d Dairy) would enter into Saint David Dairy’s standard form milk supply agreement, (MSA) with farmers.</w:t>
      </w:r>
    </w:p>
    <w:p w14:paraId="7BE76185" w14:textId="77777777" w:rsidR="00BD5B1B" w:rsidRDefault="00BD5B1B">
      <w:pPr>
        <w:pStyle w:val="BodyText"/>
        <w:ind w:left="0"/>
      </w:pPr>
    </w:p>
    <w:p w14:paraId="7BE76186" w14:textId="75132719" w:rsidR="00BD5B1B" w:rsidRDefault="004F28E8">
      <w:pPr>
        <w:pStyle w:val="BodyText"/>
        <w:ind w:left="100"/>
        <w:jc w:val="both"/>
      </w:pPr>
      <w:r>
        <w:t>Date: 1 June 202</w:t>
      </w:r>
      <w:r w:rsidR="0062074F">
        <w:t>2</w:t>
      </w:r>
    </w:p>
    <w:p w14:paraId="7BE76187" w14:textId="77777777" w:rsidR="00BD5B1B" w:rsidRDefault="00BD5B1B">
      <w:pPr>
        <w:pStyle w:val="BodyText"/>
        <w:ind w:left="0"/>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6241"/>
        <w:gridCol w:w="5103"/>
      </w:tblGrid>
      <w:tr w:rsidR="00BD5B1B" w14:paraId="7BE7618B" w14:textId="77777777">
        <w:trPr>
          <w:trHeight w:val="352"/>
        </w:trPr>
        <w:tc>
          <w:tcPr>
            <w:tcW w:w="2547" w:type="dxa"/>
            <w:tcBorders>
              <w:top w:val="nil"/>
              <w:left w:val="nil"/>
              <w:bottom w:val="nil"/>
              <w:right w:val="nil"/>
            </w:tcBorders>
            <w:shd w:val="clear" w:color="auto" w:fill="000000"/>
          </w:tcPr>
          <w:p w14:paraId="7BE76188" w14:textId="77777777" w:rsidR="00BD5B1B" w:rsidRDefault="004F28E8">
            <w:pPr>
              <w:pStyle w:val="TableParagraph"/>
              <w:spacing w:before="68"/>
              <w:ind w:left="117"/>
              <w:rPr>
                <w:b/>
                <w:sz w:val="18"/>
              </w:rPr>
            </w:pPr>
            <w:r>
              <w:rPr>
                <w:b/>
                <w:color w:val="FFFFFF"/>
                <w:sz w:val="18"/>
              </w:rPr>
              <w:t>Circumstance</w:t>
            </w:r>
          </w:p>
        </w:tc>
        <w:tc>
          <w:tcPr>
            <w:tcW w:w="6241" w:type="dxa"/>
            <w:tcBorders>
              <w:top w:val="nil"/>
              <w:left w:val="nil"/>
              <w:bottom w:val="nil"/>
              <w:right w:val="nil"/>
            </w:tcBorders>
            <w:shd w:val="clear" w:color="auto" w:fill="000000"/>
          </w:tcPr>
          <w:p w14:paraId="7BE76189" w14:textId="77777777" w:rsidR="00BD5B1B" w:rsidRDefault="004F28E8">
            <w:pPr>
              <w:pStyle w:val="TableParagraph"/>
              <w:spacing w:before="68"/>
              <w:ind w:left="117"/>
              <w:rPr>
                <w:b/>
                <w:sz w:val="18"/>
              </w:rPr>
            </w:pPr>
            <w:r>
              <w:rPr>
                <w:b/>
                <w:color w:val="FFFFFF"/>
                <w:sz w:val="18"/>
              </w:rPr>
              <w:t>Description</w:t>
            </w:r>
          </w:p>
        </w:tc>
        <w:tc>
          <w:tcPr>
            <w:tcW w:w="5103" w:type="dxa"/>
            <w:tcBorders>
              <w:top w:val="nil"/>
              <w:left w:val="nil"/>
              <w:bottom w:val="nil"/>
              <w:right w:val="nil"/>
            </w:tcBorders>
            <w:shd w:val="clear" w:color="auto" w:fill="000000"/>
          </w:tcPr>
          <w:p w14:paraId="7BE7618A" w14:textId="77777777" w:rsidR="00BD5B1B" w:rsidRDefault="004F28E8">
            <w:pPr>
              <w:pStyle w:val="TableParagraph"/>
              <w:spacing w:before="68"/>
              <w:ind w:left="117"/>
              <w:rPr>
                <w:b/>
                <w:sz w:val="18"/>
              </w:rPr>
            </w:pPr>
            <w:r>
              <w:rPr>
                <w:b/>
                <w:color w:val="FFFFFF"/>
                <w:sz w:val="18"/>
              </w:rPr>
              <w:t>Measure</w:t>
            </w:r>
          </w:p>
        </w:tc>
      </w:tr>
      <w:tr w:rsidR="00BD5B1B" w14:paraId="7BE7618F" w14:textId="77777777">
        <w:trPr>
          <w:trHeight w:val="527"/>
        </w:trPr>
        <w:tc>
          <w:tcPr>
            <w:tcW w:w="2547" w:type="dxa"/>
            <w:tcBorders>
              <w:top w:val="nil"/>
            </w:tcBorders>
          </w:tcPr>
          <w:p w14:paraId="7BE7618C" w14:textId="77777777" w:rsidR="00BD5B1B" w:rsidRDefault="004F28E8">
            <w:pPr>
              <w:pStyle w:val="TableParagraph"/>
              <w:spacing w:before="54"/>
              <w:ind w:right="374"/>
              <w:rPr>
                <w:b/>
                <w:sz w:val="18"/>
              </w:rPr>
            </w:pPr>
            <w:r>
              <w:rPr>
                <w:b/>
                <w:sz w:val="18"/>
              </w:rPr>
              <w:t>Saint David Dairy’s Milk Volume Requirements</w:t>
            </w:r>
          </w:p>
        </w:tc>
        <w:tc>
          <w:tcPr>
            <w:tcW w:w="6241" w:type="dxa"/>
            <w:tcBorders>
              <w:top w:val="nil"/>
            </w:tcBorders>
          </w:tcPr>
          <w:p w14:paraId="7BE7618D" w14:textId="77777777" w:rsidR="00BD5B1B" w:rsidRDefault="004F28E8">
            <w:pPr>
              <w:pStyle w:val="TableParagraph"/>
              <w:spacing w:before="54"/>
              <w:rPr>
                <w:sz w:val="18"/>
              </w:rPr>
            </w:pPr>
            <w:r>
              <w:rPr>
                <w:sz w:val="18"/>
              </w:rPr>
              <w:t>The annual volume of milk required by Saint David Dairy.</w:t>
            </w:r>
          </w:p>
        </w:tc>
        <w:tc>
          <w:tcPr>
            <w:tcW w:w="5103" w:type="dxa"/>
            <w:tcBorders>
              <w:top w:val="nil"/>
            </w:tcBorders>
          </w:tcPr>
          <w:p w14:paraId="7BE7618E" w14:textId="77777777" w:rsidR="00BD5B1B" w:rsidRDefault="004F28E8">
            <w:pPr>
              <w:pStyle w:val="TableParagraph"/>
              <w:spacing w:before="54"/>
              <w:ind w:right="288"/>
              <w:rPr>
                <w:sz w:val="18"/>
              </w:rPr>
            </w:pPr>
            <w:r>
              <w:rPr>
                <w:sz w:val="18"/>
              </w:rPr>
              <w:t>Saint David Dairy has adequate milk for its volume requirements.</w:t>
            </w:r>
          </w:p>
        </w:tc>
      </w:tr>
      <w:tr w:rsidR="00BD5B1B" w14:paraId="7BE76193" w14:textId="77777777">
        <w:trPr>
          <w:trHeight w:val="534"/>
        </w:trPr>
        <w:tc>
          <w:tcPr>
            <w:tcW w:w="2547" w:type="dxa"/>
          </w:tcPr>
          <w:p w14:paraId="7BE76190" w14:textId="77777777" w:rsidR="00BD5B1B" w:rsidRDefault="004F28E8">
            <w:pPr>
              <w:pStyle w:val="TableParagraph"/>
              <w:rPr>
                <w:b/>
                <w:sz w:val="18"/>
              </w:rPr>
            </w:pPr>
            <w:r>
              <w:rPr>
                <w:b/>
                <w:sz w:val="18"/>
              </w:rPr>
              <w:t>Geographic Location</w:t>
            </w:r>
          </w:p>
        </w:tc>
        <w:tc>
          <w:tcPr>
            <w:tcW w:w="6241" w:type="dxa"/>
          </w:tcPr>
          <w:p w14:paraId="7BE76191" w14:textId="77777777" w:rsidR="00BD5B1B" w:rsidRDefault="004F28E8">
            <w:pPr>
              <w:pStyle w:val="TableParagraph"/>
              <w:rPr>
                <w:sz w:val="18"/>
              </w:rPr>
            </w:pPr>
            <w:r>
              <w:rPr>
                <w:sz w:val="18"/>
              </w:rPr>
              <w:t>The location from where Saint David Dairy source its milk.</w:t>
            </w:r>
          </w:p>
        </w:tc>
        <w:tc>
          <w:tcPr>
            <w:tcW w:w="5103" w:type="dxa"/>
          </w:tcPr>
          <w:p w14:paraId="7BE76192" w14:textId="77777777" w:rsidR="00BD5B1B" w:rsidRDefault="004F28E8">
            <w:pPr>
              <w:pStyle w:val="TableParagraph"/>
              <w:ind w:right="288"/>
              <w:rPr>
                <w:sz w:val="18"/>
              </w:rPr>
            </w:pPr>
            <w:r>
              <w:rPr>
                <w:sz w:val="18"/>
              </w:rPr>
              <w:t xml:space="preserve">Required – farms to </w:t>
            </w:r>
            <w:proofErr w:type="gramStart"/>
            <w:r>
              <w:rPr>
                <w:sz w:val="18"/>
              </w:rPr>
              <w:t>be located in</w:t>
            </w:r>
            <w:proofErr w:type="gramEnd"/>
            <w:r>
              <w:rPr>
                <w:sz w:val="18"/>
              </w:rPr>
              <w:t xml:space="preserve"> Victoria unless agreed in writing with Saint David Dairy.</w:t>
            </w:r>
          </w:p>
        </w:tc>
      </w:tr>
      <w:tr w:rsidR="00BD5B1B" w14:paraId="7BE76197" w14:textId="77777777">
        <w:trPr>
          <w:trHeight w:val="532"/>
        </w:trPr>
        <w:tc>
          <w:tcPr>
            <w:tcW w:w="2547" w:type="dxa"/>
          </w:tcPr>
          <w:p w14:paraId="7BE76194" w14:textId="77777777" w:rsidR="00BD5B1B" w:rsidRDefault="004F28E8">
            <w:pPr>
              <w:pStyle w:val="TableParagraph"/>
              <w:rPr>
                <w:b/>
                <w:sz w:val="18"/>
              </w:rPr>
            </w:pPr>
            <w:r>
              <w:rPr>
                <w:b/>
                <w:sz w:val="18"/>
              </w:rPr>
              <w:t>Volume of Milk</w:t>
            </w:r>
          </w:p>
        </w:tc>
        <w:tc>
          <w:tcPr>
            <w:tcW w:w="6241" w:type="dxa"/>
          </w:tcPr>
          <w:p w14:paraId="7BE76195" w14:textId="77777777" w:rsidR="00BD5B1B" w:rsidRDefault="004F28E8">
            <w:pPr>
              <w:pStyle w:val="TableParagraph"/>
              <w:ind w:right="196"/>
              <w:rPr>
                <w:sz w:val="18"/>
              </w:rPr>
            </w:pPr>
            <w:r>
              <w:rPr>
                <w:sz w:val="18"/>
              </w:rPr>
              <w:t>The amount of milk the Farmer proposes to sell to Saint David Dairy annually.</w:t>
            </w:r>
          </w:p>
        </w:tc>
        <w:tc>
          <w:tcPr>
            <w:tcW w:w="5103" w:type="dxa"/>
          </w:tcPr>
          <w:p w14:paraId="7BE76196" w14:textId="77777777" w:rsidR="00BD5B1B" w:rsidRDefault="004F28E8">
            <w:pPr>
              <w:pStyle w:val="TableParagraph"/>
              <w:ind w:right="268"/>
              <w:rPr>
                <w:sz w:val="18"/>
              </w:rPr>
            </w:pPr>
            <w:r>
              <w:rPr>
                <w:sz w:val="18"/>
              </w:rPr>
              <w:t>Required – Saint David Dairy will agree the volumes of raw milk it requires.</w:t>
            </w:r>
          </w:p>
        </w:tc>
      </w:tr>
      <w:tr w:rsidR="00BD5B1B" w14:paraId="7BE761A2" w14:textId="77777777">
        <w:trPr>
          <w:trHeight w:val="2551"/>
        </w:trPr>
        <w:tc>
          <w:tcPr>
            <w:tcW w:w="2547" w:type="dxa"/>
          </w:tcPr>
          <w:p w14:paraId="7BE76198" w14:textId="77777777" w:rsidR="00BD5B1B" w:rsidRDefault="004F28E8">
            <w:pPr>
              <w:pStyle w:val="TableParagraph"/>
              <w:rPr>
                <w:b/>
                <w:sz w:val="18"/>
              </w:rPr>
            </w:pPr>
            <w:r>
              <w:rPr>
                <w:b/>
                <w:sz w:val="18"/>
              </w:rPr>
              <w:t>Quality of Milk</w:t>
            </w:r>
          </w:p>
        </w:tc>
        <w:tc>
          <w:tcPr>
            <w:tcW w:w="6241" w:type="dxa"/>
          </w:tcPr>
          <w:p w14:paraId="7BE76199" w14:textId="77777777" w:rsidR="00BD5B1B" w:rsidRDefault="004F28E8">
            <w:pPr>
              <w:pStyle w:val="TableParagraph"/>
              <w:rPr>
                <w:sz w:val="18"/>
              </w:rPr>
            </w:pPr>
            <w:r>
              <w:rPr>
                <w:sz w:val="18"/>
              </w:rPr>
              <w:t>Farmers must demonstrate the ability to supply Milk that meets the Quality Requireme</w:t>
            </w:r>
            <w:r>
              <w:rPr>
                <w:sz w:val="18"/>
              </w:rPr>
              <w:t xml:space="preserve">nts over a </w:t>
            </w:r>
            <w:proofErr w:type="gramStart"/>
            <w:r>
              <w:rPr>
                <w:sz w:val="18"/>
              </w:rPr>
              <w:t>12 month</w:t>
            </w:r>
            <w:proofErr w:type="gramEnd"/>
            <w:r>
              <w:rPr>
                <w:sz w:val="18"/>
              </w:rPr>
              <w:t xml:space="preserve"> period.</w:t>
            </w:r>
          </w:p>
        </w:tc>
        <w:tc>
          <w:tcPr>
            <w:tcW w:w="5103" w:type="dxa"/>
          </w:tcPr>
          <w:p w14:paraId="7BE7619A" w14:textId="77777777" w:rsidR="00BD5B1B" w:rsidRDefault="004F28E8">
            <w:pPr>
              <w:pStyle w:val="TableParagraph"/>
              <w:rPr>
                <w:sz w:val="18"/>
              </w:rPr>
            </w:pPr>
            <w:r>
              <w:rPr>
                <w:sz w:val="18"/>
              </w:rPr>
              <w:t>Quality Requirements:</w:t>
            </w:r>
          </w:p>
          <w:p w14:paraId="7BE7619B" w14:textId="77777777" w:rsidR="00BD5B1B" w:rsidRDefault="004F28E8">
            <w:pPr>
              <w:pStyle w:val="TableParagraph"/>
              <w:tabs>
                <w:tab w:val="left" w:pos="2992"/>
              </w:tabs>
              <w:rPr>
                <w:sz w:val="18"/>
              </w:rPr>
            </w:pPr>
            <w:r>
              <w:rPr>
                <w:b/>
                <w:sz w:val="18"/>
              </w:rPr>
              <w:t>BMCC</w:t>
            </w:r>
            <w:r>
              <w:rPr>
                <w:b/>
                <w:spacing w:val="-4"/>
                <w:sz w:val="18"/>
              </w:rPr>
              <w:t xml:space="preserve"> </w:t>
            </w:r>
            <w:r>
              <w:rPr>
                <w:sz w:val="18"/>
              </w:rPr>
              <w:t>(cells/mL):</w:t>
            </w:r>
            <w:r>
              <w:rPr>
                <w:sz w:val="18"/>
              </w:rPr>
              <w:tab/>
              <w:t>&lt;250,000</w:t>
            </w:r>
          </w:p>
          <w:p w14:paraId="7BE7619C" w14:textId="77777777" w:rsidR="00BD5B1B" w:rsidRDefault="004F28E8">
            <w:pPr>
              <w:pStyle w:val="TableParagraph"/>
              <w:tabs>
                <w:tab w:val="left" w:pos="2992"/>
              </w:tabs>
              <w:rPr>
                <w:sz w:val="18"/>
              </w:rPr>
            </w:pPr>
            <w:r>
              <w:rPr>
                <w:b/>
                <w:sz w:val="18"/>
              </w:rPr>
              <w:t>Total Bacteria</w:t>
            </w:r>
            <w:r>
              <w:rPr>
                <w:b/>
                <w:spacing w:val="-6"/>
                <w:sz w:val="18"/>
              </w:rPr>
              <w:t xml:space="preserve"> </w:t>
            </w:r>
            <w:r>
              <w:rPr>
                <w:b/>
                <w:sz w:val="18"/>
              </w:rPr>
              <w:t>Count</w:t>
            </w:r>
            <w:r>
              <w:rPr>
                <w:b/>
                <w:spacing w:val="-4"/>
                <w:sz w:val="18"/>
              </w:rPr>
              <w:t xml:space="preserve"> </w:t>
            </w:r>
            <w:r>
              <w:rPr>
                <w:sz w:val="18"/>
              </w:rPr>
              <w:t>(</w:t>
            </w:r>
            <w:proofErr w:type="spellStart"/>
            <w:r>
              <w:rPr>
                <w:sz w:val="18"/>
              </w:rPr>
              <w:t>cfu</w:t>
            </w:r>
            <w:proofErr w:type="spellEnd"/>
            <w:r>
              <w:rPr>
                <w:sz w:val="18"/>
              </w:rPr>
              <w:t>/mL):</w:t>
            </w:r>
            <w:r>
              <w:rPr>
                <w:sz w:val="18"/>
              </w:rPr>
              <w:tab/>
              <w:t>&lt; 50,000</w:t>
            </w:r>
          </w:p>
          <w:p w14:paraId="7BE7619D" w14:textId="77777777" w:rsidR="00BD5B1B" w:rsidRDefault="004F28E8">
            <w:pPr>
              <w:pStyle w:val="TableParagraph"/>
              <w:tabs>
                <w:tab w:val="left" w:pos="2992"/>
              </w:tabs>
              <w:spacing w:before="60"/>
              <w:rPr>
                <w:sz w:val="18"/>
              </w:rPr>
            </w:pPr>
            <w:r>
              <w:rPr>
                <w:b/>
                <w:sz w:val="18"/>
              </w:rPr>
              <w:t>Temperature</w:t>
            </w:r>
            <w:r>
              <w:rPr>
                <w:sz w:val="18"/>
              </w:rPr>
              <w:t>:</w:t>
            </w:r>
            <w:r>
              <w:rPr>
                <w:sz w:val="18"/>
              </w:rPr>
              <w:tab/>
              <w:t>Below 5 degrees</w:t>
            </w:r>
            <w:r>
              <w:rPr>
                <w:spacing w:val="-8"/>
                <w:sz w:val="18"/>
              </w:rPr>
              <w:t xml:space="preserve"> </w:t>
            </w:r>
            <w:r>
              <w:rPr>
                <w:sz w:val="18"/>
              </w:rPr>
              <w:t>within</w:t>
            </w:r>
          </w:p>
          <w:p w14:paraId="7BE7619E" w14:textId="77777777" w:rsidR="00BD5B1B" w:rsidRDefault="004F28E8">
            <w:pPr>
              <w:pStyle w:val="TableParagraph"/>
              <w:spacing w:before="4"/>
              <w:ind w:left="2992" w:right="310"/>
              <w:rPr>
                <w:sz w:val="18"/>
              </w:rPr>
            </w:pPr>
            <w:r>
              <w:rPr>
                <w:sz w:val="18"/>
              </w:rPr>
              <w:t xml:space="preserve">3.5 hours from milking and </w:t>
            </w:r>
            <w:proofErr w:type="gramStart"/>
            <w:r>
              <w:rPr>
                <w:sz w:val="18"/>
              </w:rPr>
              <w:t>at all times</w:t>
            </w:r>
            <w:proofErr w:type="gramEnd"/>
            <w:r>
              <w:rPr>
                <w:sz w:val="18"/>
              </w:rPr>
              <w:t xml:space="preserve"> thereafter.</w:t>
            </w:r>
          </w:p>
          <w:p w14:paraId="7BE7619F" w14:textId="77777777" w:rsidR="00BD5B1B" w:rsidRDefault="004F28E8">
            <w:pPr>
              <w:pStyle w:val="TableParagraph"/>
              <w:tabs>
                <w:tab w:val="left" w:pos="2992"/>
              </w:tabs>
              <w:spacing w:before="56"/>
              <w:rPr>
                <w:sz w:val="18"/>
              </w:rPr>
            </w:pPr>
            <w:r>
              <w:rPr>
                <w:b/>
                <w:sz w:val="18"/>
              </w:rPr>
              <w:t>Organoleptic</w:t>
            </w:r>
            <w:r>
              <w:rPr>
                <w:sz w:val="18"/>
              </w:rPr>
              <w:t>:</w:t>
            </w:r>
            <w:r>
              <w:rPr>
                <w:sz w:val="18"/>
              </w:rPr>
              <w:tab/>
              <w:t>No issues</w:t>
            </w:r>
            <w:r>
              <w:rPr>
                <w:spacing w:val="-2"/>
                <w:sz w:val="18"/>
              </w:rPr>
              <w:t xml:space="preserve"> </w:t>
            </w:r>
            <w:r>
              <w:rPr>
                <w:sz w:val="18"/>
              </w:rPr>
              <w:t>present</w:t>
            </w:r>
          </w:p>
          <w:p w14:paraId="7BE761A0" w14:textId="77777777" w:rsidR="00BD5B1B" w:rsidRDefault="004F28E8">
            <w:pPr>
              <w:pStyle w:val="TableParagraph"/>
              <w:tabs>
                <w:tab w:val="left" w:pos="2992"/>
              </w:tabs>
              <w:spacing w:before="65"/>
              <w:rPr>
                <w:sz w:val="18"/>
              </w:rPr>
            </w:pPr>
            <w:r>
              <w:rPr>
                <w:b/>
                <w:sz w:val="18"/>
              </w:rPr>
              <w:t>Inhibitory</w:t>
            </w:r>
            <w:r>
              <w:rPr>
                <w:b/>
                <w:spacing w:val="-4"/>
                <w:sz w:val="18"/>
              </w:rPr>
              <w:t xml:space="preserve"> </w:t>
            </w:r>
            <w:r>
              <w:rPr>
                <w:b/>
                <w:sz w:val="18"/>
              </w:rPr>
              <w:t>substances</w:t>
            </w:r>
            <w:r>
              <w:rPr>
                <w:sz w:val="18"/>
              </w:rPr>
              <w:t>:</w:t>
            </w:r>
            <w:r>
              <w:rPr>
                <w:sz w:val="18"/>
              </w:rPr>
              <w:tab/>
              <w:t>None</w:t>
            </w:r>
            <w:r>
              <w:rPr>
                <w:spacing w:val="-2"/>
                <w:sz w:val="18"/>
              </w:rPr>
              <w:t xml:space="preserve"> </w:t>
            </w:r>
            <w:r>
              <w:rPr>
                <w:sz w:val="18"/>
              </w:rPr>
              <w:t>present</w:t>
            </w:r>
          </w:p>
          <w:p w14:paraId="7BE761A1" w14:textId="77777777" w:rsidR="00BD5B1B" w:rsidRDefault="004F28E8">
            <w:pPr>
              <w:pStyle w:val="TableParagraph"/>
              <w:tabs>
                <w:tab w:val="left" w:pos="2992"/>
              </w:tabs>
              <w:rPr>
                <w:sz w:val="18"/>
              </w:rPr>
            </w:pPr>
            <w:r>
              <w:rPr>
                <w:b/>
                <w:sz w:val="18"/>
              </w:rPr>
              <w:t>Milk</w:t>
            </w:r>
            <w:r>
              <w:rPr>
                <w:b/>
                <w:spacing w:val="-2"/>
                <w:sz w:val="18"/>
              </w:rPr>
              <w:t xml:space="preserve"> </w:t>
            </w:r>
            <w:r>
              <w:rPr>
                <w:b/>
                <w:sz w:val="18"/>
              </w:rPr>
              <w:t>stretching</w:t>
            </w:r>
            <w:r>
              <w:rPr>
                <w:sz w:val="18"/>
              </w:rPr>
              <w:t>:</w:t>
            </w:r>
            <w:r>
              <w:rPr>
                <w:sz w:val="18"/>
              </w:rPr>
              <w:tab/>
              <w:t>No issues</w:t>
            </w:r>
            <w:r>
              <w:rPr>
                <w:spacing w:val="-1"/>
                <w:sz w:val="18"/>
              </w:rPr>
              <w:t xml:space="preserve"> </w:t>
            </w:r>
            <w:r>
              <w:rPr>
                <w:sz w:val="18"/>
              </w:rPr>
              <w:t>present</w:t>
            </w:r>
          </w:p>
        </w:tc>
      </w:tr>
      <w:tr w:rsidR="00BD5B1B" w14:paraId="7BE761A6" w14:textId="77777777">
        <w:trPr>
          <w:trHeight w:val="945"/>
        </w:trPr>
        <w:tc>
          <w:tcPr>
            <w:tcW w:w="2547" w:type="dxa"/>
          </w:tcPr>
          <w:p w14:paraId="7BE761A3" w14:textId="77777777" w:rsidR="00BD5B1B" w:rsidRDefault="004F28E8">
            <w:pPr>
              <w:pStyle w:val="TableParagraph"/>
              <w:rPr>
                <w:b/>
                <w:sz w:val="18"/>
              </w:rPr>
            </w:pPr>
            <w:r>
              <w:rPr>
                <w:b/>
                <w:sz w:val="18"/>
              </w:rPr>
              <w:t>Quality Control Measures</w:t>
            </w:r>
          </w:p>
        </w:tc>
        <w:tc>
          <w:tcPr>
            <w:tcW w:w="6241" w:type="dxa"/>
          </w:tcPr>
          <w:p w14:paraId="7BE761A4" w14:textId="77777777" w:rsidR="00BD5B1B" w:rsidRDefault="004F28E8">
            <w:pPr>
              <w:pStyle w:val="TableParagraph"/>
              <w:ind w:right="196"/>
              <w:rPr>
                <w:sz w:val="18"/>
              </w:rPr>
            </w:pPr>
            <w:r>
              <w:rPr>
                <w:sz w:val="18"/>
              </w:rPr>
              <w:t>Farmers must be able to demonstrate that they have adequate quality control and quality assurance measures in place to meet the Quality Requirements, and to comply with the necessary industry and specific supply standards.</w:t>
            </w:r>
          </w:p>
        </w:tc>
        <w:tc>
          <w:tcPr>
            <w:tcW w:w="5103" w:type="dxa"/>
          </w:tcPr>
          <w:p w14:paraId="7BE761A5" w14:textId="77777777" w:rsidR="00BD5B1B" w:rsidRDefault="004F28E8">
            <w:pPr>
              <w:pStyle w:val="TableParagraph"/>
              <w:rPr>
                <w:sz w:val="18"/>
              </w:rPr>
            </w:pPr>
            <w:r>
              <w:rPr>
                <w:sz w:val="18"/>
              </w:rPr>
              <w:t>Farmers must meet the Quality Req</w:t>
            </w:r>
            <w:r>
              <w:rPr>
                <w:sz w:val="18"/>
              </w:rPr>
              <w:t>uirements.</w:t>
            </w:r>
          </w:p>
        </w:tc>
      </w:tr>
      <w:tr w:rsidR="00BD5B1B" w14:paraId="7BE761AA" w14:textId="77777777">
        <w:trPr>
          <w:trHeight w:val="534"/>
        </w:trPr>
        <w:tc>
          <w:tcPr>
            <w:tcW w:w="2547" w:type="dxa"/>
          </w:tcPr>
          <w:p w14:paraId="7BE761A7" w14:textId="77777777" w:rsidR="00BD5B1B" w:rsidRDefault="004F28E8">
            <w:pPr>
              <w:pStyle w:val="TableParagraph"/>
              <w:rPr>
                <w:b/>
                <w:sz w:val="18"/>
              </w:rPr>
            </w:pPr>
            <w:r>
              <w:rPr>
                <w:b/>
                <w:sz w:val="18"/>
              </w:rPr>
              <w:t>Insurance</w:t>
            </w:r>
          </w:p>
        </w:tc>
        <w:tc>
          <w:tcPr>
            <w:tcW w:w="6241" w:type="dxa"/>
          </w:tcPr>
          <w:p w14:paraId="7BE761A8" w14:textId="77777777" w:rsidR="00BD5B1B" w:rsidRDefault="004F28E8">
            <w:pPr>
              <w:pStyle w:val="TableParagraph"/>
              <w:rPr>
                <w:sz w:val="18"/>
              </w:rPr>
            </w:pPr>
            <w:r>
              <w:rPr>
                <w:sz w:val="18"/>
              </w:rPr>
              <w:t>Farmer must demonstrate that they have public liability insurance and product liability insurance.</w:t>
            </w:r>
          </w:p>
        </w:tc>
        <w:tc>
          <w:tcPr>
            <w:tcW w:w="5103" w:type="dxa"/>
          </w:tcPr>
          <w:p w14:paraId="7BE761A9" w14:textId="77777777" w:rsidR="00BD5B1B" w:rsidRDefault="004F28E8">
            <w:pPr>
              <w:pStyle w:val="TableParagraph"/>
              <w:rPr>
                <w:sz w:val="18"/>
              </w:rPr>
            </w:pPr>
            <w:r>
              <w:rPr>
                <w:sz w:val="18"/>
              </w:rPr>
              <w:t>At least $10 million per occurrence.</w:t>
            </w:r>
          </w:p>
        </w:tc>
      </w:tr>
      <w:tr w:rsidR="00BD5B1B" w14:paraId="7BE761AE" w14:textId="77777777">
        <w:trPr>
          <w:trHeight w:val="535"/>
        </w:trPr>
        <w:tc>
          <w:tcPr>
            <w:tcW w:w="2547" w:type="dxa"/>
          </w:tcPr>
          <w:p w14:paraId="7BE761AB" w14:textId="77777777" w:rsidR="00BD5B1B" w:rsidRDefault="004F28E8">
            <w:pPr>
              <w:pStyle w:val="TableParagraph"/>
              <w:rPr>
                <w:b/>
                <w:sz w:val="18"/>
              </w:rPr>
            </w:pPr>
            <w:r>
              <w:rPr>
                <w:b/>
                <w:sz w:val="18"/>
              </w:rPr>
              <w:t>Farm Standards</w:t>
            </w:r>
          </w:p>
        </w:tc>
        <w:tc>
          <w:tcPr>
            <w:tcW w:w="6241" w:type="dxa"/>
          </w:tcPr>
          <w:p w14:paraId="7BE761AC" w14:textId="77777777" w:rsidR="00BD5B1B" w:rsidRDefault="004F28E8">
            <w:pPr>
              <w:pStyle w:val="TableParagraph"/>
              <w:ind w:right="196"/>
              <w:rPr>
                <w:sz w:val="18"/>
              </w:rPr>
            </w:pPr>
            <w:r>
              <w:rPr>
                <w:sz w:val="18"/>
              </w:rPr>
              <w:t>Farmers must demonstrate farm operations comply with an approved food safety program.</w:t>
            </w:r>
          </w:p>
        </w:tc>
        <w:tc>
          <w:tcPr>
            <w:tcW w:w="5103" w:type="dxa"/>
          </w:tcPr>
          <w:p w14:paraId="7BE761AD" w14:textId="766F2B81" w:rsidR="00BD5B1B" w:rsidRDefault="004F28E8">
            <w:pPr>
              <w:pStyle w:val="TableParagraph"/>
              <w:rPr>
                <w:sz w:val="18"/>
              </w:rPr>
            </w:pPr>
            <w:r>
              <w:rPr>
                <w:sz w:val="18"/>
              </w:rPr>
              <w:t>Approved food safety program.</w:t>
            </w:r>
            <w:r w:rsidR="0062074F">
              <w:rPr>
                <w:sz w:val="18"/>
              </w:rPr>
              <w:t xml:space="preserve"> </w:t>
            </w:r>
            <w:r w:rsidR="0062074F">
              <w:rPr>
                <w:sz w:val="18"/>
              </w:rPr>
              <w:t>Farmer’s vats must be compliant with Australian Standard Farm Milking Cooling and Storage Systems (AS1187)</w:t>
            </w:r>
          </w:p>
        </w:tc>
      </w:tr>
    </w:tbl>
    <w:p w14:paraId="7BE761AF" w14:textId="77777777" w:rsidR="00BD5B1B" w:rsidRDefault="00BD5B1B">
      <w:pPr>
        <w:rPr>
          <w:sz w:val="18"/>
        </w:rPr>
        <w:sectPr w:rsidR="00BD5B1B">
          <w:type w:val="continuous"/>
          <w:pgSz w:w="16850" w:h="11920" w:orient="landscape"/>
          <w:pgMar w:top="1100" w:right="1320" w:bottom="280" w:left="1340" w:header="720" w:footer="720" w:gutter="0"/>
          <w:cols w:space="720"/>
        </w:sectPr>
      </w:pPr>
    </w:p>
    <w:p w14:paraId="7BE761B0" w14:textId="77777777" w:rsidR="00BD5B1B" w:rsidRDefault="00BD5B1B">
      <w:pPr>
        <w:pStyle w:val="BodyText"/>
        <w:ind w:left="0"/>
        <w:rPr>
          <w:sz w:val="28"/>
        </w:rPr>
      </w:pPr>
    </w:p>
    <w:p w14:paraId="7BE761B6" w14:textId="77777777" w:rsidR="00BD5B1B" w:rsidRDefault="004F28E8">
      <w:pPr>
        <w:pStyle w:val="Heading1"/>
        <w:spacing w:before="218"/>
      </w:pPr>
      <w:r>
        <w:t>M</w:t>
      </w:r>
      <w:r>
        <w:t>inimum Price Statement</w:t>
      </w:r>
    </w:p>
    <w:p w14:paraId="7BE761B7" w14:textId="77777777" w:rsidR="00BD5B1B" w:rsidRDefault="00BD5B1B">
      <w:pPr>
        <w:pStyle w:val="BodyText"/>
        <w:spacing w:before="11"/>
        <w:ind w:left="0"/>
        <w:rPr>
          <w:sz w:val="42"/>
        </w:rPr>
      </w:pPr>
    </w:p>
    <w:p w14:paraId="7BE761B8" w14:textId="137BB9CB" w:rsidR="00BD5B1B" w:rsidRDefault="004F28E8">
      <w:pPr>
        <w:pStyle w:val="BodyText"/>
        <w:spacing w:line="477" w:lineRule="auto"/>
        <w:ind w:left="100" w:right="6416"/>
      </w:pPr>
      <w:r>
        <w:t>This Minimum Price Statement (“Statement”) is provided pursuant to the Dairy Code of Conduct. Date: 1 June 202</w:t>
      </w:r>
      <w:r w:rsidR="0062074F">
        <w:t>2</w:t>
      </w:r>
    </w:p>
    <w:p w14:paraId="7BE761B9" w14:textId="77777777" w:rsidR="00BD5B1B" w:rsidRDefault="004F28E8">
      <w:pPr>
        <w:pStyle w:val="BodyText"/>
        <w:spacing w:before="2" w:line="205" w:lineRule="exact"/>
        <w:ind w:left="100"/>
      </w:pPr>
      <w:r>
        <w:t>In setting the prices set out in the MSA, Saint David Dairy has considered the following:</w:t>
      </w:r>
    </w:p>
    <w:p w14:paraId="7BE761BA" w14:textId="77777777" w:rsidR="00BD5B1B" w:rsidRDefault="004F28E8">
      <w:pPr>
        <w:pStyle w:val="ListParagraph"/>
        <w:numPr>
          <w:ilvl w:val="0"/>
          <w:numId w:val="1"/>
        </w:numPr>
        <w:tabs>
          <w:tab w:val="left" w:pos="527"/>
          <w:tab w:val="left" w:pos="528"/>
        </w:tabs>
        <w:ind w:hanging="364"/>
        <w:rPr>
          <w:sz w:val="18"/>
        </w:rPr>
      </w:pPr>
      <w:r>
        <w:rPr>
          <w:sz w:val="18"/>
        </w:rPr>
        <w:t>Meeting Saint David Dairy volume requirements for</w:t>
      </w:r>
      <w:r>
        <w:rPr>
          <w:spacing w:val="-15"/>
          <w:sz w:val="18"/>
        </w:rPr>
        <w:t xml:space="preserve"> </w:t>
      </w:r>
      <w:r>
        <w:rPr>
          <w:sz w:val="18"/>
        </w:rPr>
        <w:t>Milk</w:t>
      </w:r>
      <w:r>
        <w:rPr>
          <w:sz w:val="18"/>
        </w:rPr>
        <w:t>.</w:t>
      </w:r>
    </w:p>
    <w:p w14:paraId="7BE761BB" w14:textId="77777777" w:rsidR="00BD5B1B" w:rsidRDefault="004F28E8">
      <w:pPr>
        <w:pStyle w:val="ListParagraph"/>
        <w:numPr>
          <w:ilvl w:val="0"/>
          <w:numId w:val="1"/>
        </w:numPr>
        <w:tabs>
          <w:tab w:val="left" w:pos="527"/>
          <w:tab w:val="left" w:pos="528"/>
        </w:tabs>
        <w:ind w:hanging="364"/>
        <w:rPr>
          <w:sz w:val="18"/>
        </w:rPr>
      </w:pPr>
      <w:r>
        <w:rPr>
          <w:sz w:val="18"/>
        </w:rPr>
        <w:t>The quality and components of the Milk supplied by the</w:t>
      </w:r>
      <w:r>
        <w:rPr>
          <w:spacing w:val="-26"/>
          <w:sz w:val="18"/>
        </w:rPr>
        <w:t xml:space="preserve"> </w:t>
      </w:r>
      <w:r>
        <w:rPr>
          <w:sz w:val="18"/>
        </w:rPr>
        <w:t>Farmer</w:t>
      </w:r>
    </w:p>
    <w:p w14:paraId="7BE761BC" w14:textId="77777777" w:rsidR="00BD5B1B" w:rsidRDefault="004F28E8">
      <w:pPr>
        <w:pStyle w:val="ListParagraph"/>
        <w:numPr>
          <w:ilvl w:val="0"/>
          <w:numId w:val="1"/>
        </w:numPr>
        <w:tabs>
          <w:tab w:val="left" w:pos="527"/>
          <w:tab w:val="left" w:pos="528"/>
        </w:tabs>
        <w:spacing w:line="218" w:lineRule="exact"/>
        <w:ind w:hanging="364"/>
        <w:rPr>
          <w:sz w:val="18"/>
        </w:rPr>
      </w:pPr>
      <w:r>
        <w:rPr>
          <w:sz w:val="18"/>
        </w:rPr>
        <w:t>Consideration</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seasonal</w:t>
      </w:r>
      <w:r>
        <w:rPr>
          <w:spacing w:val="-7"/>
          <w:sz w:val="18"/>
        </w:rPr>
        <w:t xml:space="preserve"> </w:t>
      </w:r>
      <w:r>
        <w:rPr>
          <w:sz w:val="18"/>
        </w:rPr>
        <w:t>fluctuations</w:t>
      </w:r>
      <w:r>
        <w:rPr>
          <w:spacing w:val="3"/>
          <w:sz w:val="18"/>
        </w:rPr>
        <w:t xml:space="preserve"> </w:t>
      </w:r>
      <w:r>
        <w:rPr>
          <w:sz w:val="18"/>
        </w:rPr>
        <w:t>in</w:t>
      </w:r>
      <w:r>
        <w:rPr>
          <w:spacing w:val="-4"/>
          <w:sz w:val="18"/>
        </w:rPr>
        <w:t xml:space="preserve"> </w:t>
      </w:r>
      <w:r>
        <w:rPr>
          <w:sz w:val="18"/>
        </w:rPr>
        <w:t>Milk</w:t>
      </w:r>
      <w:r>
        <w:rPr>
          <w:spacing w:val="-5"/>
          <w:sz w:val="18"/>
        </w:rPr>
        <w:t xml:space="preserve"> </w:t>
      </w:r>
      <w:r>
        <w:rPr>
          <w:sz w:val="18"/>
        </w:rPr>
        <w:t>production</w:t>
      </w:r>
      <w:r>
        <w:rPr>
          <w:spacing w:val="-6"/>
          <w:sz w:val="18"/>
        </w:rPr>
        <w:t xml:space="preserve"> </w:t>
      </w:r>
      <w:r>
        <w:rPr>
          <w:sz w:val="18"/>
        </w:rPr>
        <w:t>relative</w:t>
      </w:r>
      <w:r>
        <w:rPr>
          <w:spacing w:val="-1"/>
          <w:sz w:val="18"/>
        </w:rPr>
        <w:t xml:space="preserve"> </w:t>
      </w:r>
      <w:r>
        <w:rPr>
          <w:sz w:val="18"/>
        </w:rPr>
        <w:t>to Saint</w:t>
      </w:r>
      <w:r>
        <w:rPr>
          <w:spacing w:val="-2"/>
          <w:sz w:val="18"/>
        </w:rPr>
        <w:t xml:space="preserve"> </w:t>
      </w:r>
      <w:r>
        <w:rPr>
          <w:sz w:val="18"/>
        </w:rPr>
        <w:t>David</w:t>
      </w:r>
      <w:r>
        <w:rPr>
          <w:spacing w:val="-4"/>
          <w:sz w:val="18"/>
        </w:rPr>
        <w:t xml:space="preserve"> </w:t>
      </w:r>
      <w:r>
        <w:rPr>
          <w:sz w:val="18"/>
        </w:rPr>
        <w:t>Dairy’s</w:t>
      </w:r>
      <w:r>
        <w:rPr>
          <w:spacing w:val="-6"/>
          <w:sz w:val="18"/>
        </w:rPr>
        <w:t xml:space="preserve"> </w:t>
      </w:r>
      <w:r>
        <w:rPr>
          <w:sz w:val="18"/>
        </w:rPr>
        <w:t>customer’s</w:t>
      </w:r>
      <w:r>
        <w:rPr>
          <w:spacing w:val="-3"/>
          <w:sz w:val="18"/>
        </w:rPr>
        <w:t xml:space="preserve"> </w:t>
      </w:r>
      <w:r>
        <w:rPr>
          <w:sz w:val="18"/>
        </w:rPr>
        <w:t>demand</w:t>
      </w:r>
      <w:r>
        <w:rPr>
          <w:spacing w:val="-4"/>
          <w:sz w:val="18"/>
        </w:rPr>
        <w:t xml:space="preserve"> </w:t>
      </w:r>
      <w:r>
        <w:rPr>
          <w:sz w:val="18"/>
        </w:rPr>
        <w:t>for</w:t>
      </w:r>
      <w:r>
        <w:rPr>
          <w:spacing w:val="-7"/>
          <w:sz w:val="18"/>
        </w:rPr>
        <w:t xml:space="preserve"> </w:t>
      </w:r>
      <w:r>
        <w:rPr>
          <w:sz w:val="18"/>
        </w:rPr>
        <w:t>Milk.</w:t>
      </w:r>
    </w:p>
    <w:p w14:paraId="7BE761BD" w14:textId="77777777" w:rsidR="00BD5B1B" w:rsidRDefault="004F28E8">
      <w:pPr>
        <w:pStyle w:val="ListParagraph"/>
        <w:numPr>
          <w:ilvl w:val="0"/>
          <w:numId w:val="1"/>
        </w:numPr>
        <w:tabs>
          <w:tab w:val="left" w:pos="527"/>
          <w:tab w:val="left" w:pos="528"/>
        </w:tabs>
        <w:spacing w:line="218" w:lineRule="exact"/>
        <w:ind w:hanging="364"/>
        <w:rPr>
          <w:sz w:val="18"/>
        </w:rPr>
      </w:pPr>
      <w:r>
        <w:rPr>
          <w:sz w:val="18"/>
        </w:rPr>
        <w:t>Geographic</w:t>
      </w:r>
      <w:r>
        <w:rPr>
          <w:spacing w:val="-4"/>
          <w:sz w:val="18"/>
        </w:rPr>
        <w:t xml:space="preserve"> </w:t>
      </w:r>
      <w:r>
        <w:rPr>
          <w:sz w:val="18"/>
        </w:rPr>
        <w:t>location</w:t>
      </w:r>
      <w:r>
        <w:rPr>
          <w:spacing w:val="-1"/>
          <w:sz w:val="18"/>
        </w:rPr>
        <w:t xml:space="preserve"> </w:t>
      </w:r>
      <w:r>
        <w:rPr>
          <w:sz w:val="18"/>
        </w:rPr>
        <w:t>of</w:t>
      </w:r>
      <w:r>
        <w:rPr>
          <w:spacing w:val="-6"/>
          <w:sz w:val="18"/>
        </w:rPr>
        <w:t xml:space="preserve"> </w:t>
      </w:r>
      <w:r>
        <w:rPr>
          <w:sz w:val="18"/>
        </w:rPr>
        <w:t>the</w:t>
      </w:r>
      <w:r>
        <w:rPr>
          <w:spacing w:val="-4"/>
          <w:sz w:val="18"/>
        </w:rPr>
        <w:t xml:space="preserve"> </w:t>
      </w:r>
      <w:r>
        <w:rPr>
          <w:sz w:val="18"/>
        </w:rPr>
        <w:t>Milk being</w:t>
      </w:r>
      <w:r>
        <w:rPr>
          <w:spacing w:val="-2"/>
          <w:sz w:val="18"/>
        </w:rPr>
        <w:t xml:space="preserve"> </w:t>
      </w:r>
      <w:r>
        <w:rPr>
          <w:sz w:val="18"/>
        </w:rPr>
        <w:t>supplied</w:t>
      </w:r>
      <w:r>
        <w:rPr>
          <w:spacing w:val="1"/>
          <w:sz w:val="18"/>
        </w:rPr>
        <w:t xml:space="preserve"> </w:t>
      </w:r>
      <w:r>
        <w:rPr>
          <w:sz w:val="18"/>
        </w:rPr>
        <w:t>to</w:t>
      </w:r>
      <w:r>
        <w:rPr>
          <w:spacing w:val="-4"/>
          <w:sz w:val="18"/>
        </w:rPr>
        <w:t xml:space="preserve"> </w:t>
      </w:r>
      <w:r>
        <w:rPr>
          <w:sz w:val="18"/>
        </w:rPr>
        <w:t>Saint</w:t>
      </w:r>
      <w:r>
        <w:rPr>
          <w:spacing w:val="-3"/>
          <w:sz w:val="18"/>
        </w:rPr>
        <w:t xml:space="preserve"> </w:t>
      </w:r>
      <w:r>
        <w:rPr>
          <w:sz w:val="18"/>
        </w:rPr>
        <w:t>David</w:t>
      </w:r>
      <w:r>
        <w:rPr>
          <w:spacing w:val="1"/>
          <w:sz w:val="18"/>
        </w:rPr>
        <w:t xml:space="preserve"> </w:t>
      </w:r>
      <w:r>
        <w:rPr>
          <w:sz w:val="18"/>
        </w:rPr>
        <w:t>Dairy’s</w:t>
      </w:r>
      <w:r>
        <w:rPr>
          <w:spacing w:val="-2"/>
          <w:sz w:val="18"/>
        </w:rPr>
        <w:t xml:space="preserve"> </w:t>
      </w:r>
      <w:r>
        <w:rPr>
          <w:sz w:val="18"/>
        </w:rPr>
        <w:t>processing</w:t>
      </w:r>
      <w:r>
        <w:rPr>
          <w:spacing w:val="-3"/>
          <w:sz w:val="18"/>
        </w:rPr>
        <w:t xml:space="preserve"> </w:t>
      </w:r>
      <w:r>
        <w:rPr>
          <w:sz w:val="18"/>
        </w:rPr>
        <w:t>plant</w:t>
      </w:r>
      <w:r>
        <w:rPr>
          <w:spacing w:val="-5"/>
          <w:sz w:val="18"/>
        </w:rPr>
        <w:t xml:space="preserve"> </w:t>
      </w:r>
      <w:r>
        <w:rPr>
          <w:sz w:val="18"/>
        </w:rPr>
        <w:t>and</w:t>
      </w:r>
      <w:r>
        <w:rPr>
          <w:spacing w:val="-7"/>
          <w:sz w:val="18"/>
        </w:rPr>
        <w:t xml:space="preserve"> </w:t>
      </w:r>
      <w:r>
        <w:rPr>
          <w:sz w:val="18"/>
        </w:rPr>
        <w:t>the</w:t>
      </w:r>
      <w:r>
        <w:rPr>
          <w:spacing w:val="-3"/>
          <w:sz w:val="18"/>
        </w:rPr>
        <w:t xml:space="preserve"> </w:t>
      </w:r>
      <w:r>
        <w:rPr>
          <w:sz w:val="18"/>
        </w:rPr>
        <w:t>associated</w:t>
      </w:r>
      <w:r>
        <w:rPr>
          <w:spacing w:val="-3"/>
          <w:sz w:val="18"/>
        </w:rPr>
        <w:t xml:space="preserve"> </w:t>
      </w:r>
      <w:r>
        <w:rPr>
          <w:sz w:val="18"/>
        </w:rPr>
        <w:t>transport</w:t>
      </w:r>
      <w:r>
        <w:rPr>
          <w:spacing w:val="-2"/>
          <w:sz w:val="18"/>
        </w:rPr>
        <w:t xml:space="preserve"> </w:t>
      </w:r>
      <w:r>
        <w:rPr>
          <w:sz w:val="18"/>
        </w:rPr>
        <w:t>costs.</w:t>
      </w:r>
    </w:p>
    <w:p w14:paraId="7BE761BE" w14:textId="77777777" w:rsidR="00BD5B1B" w:rsidRDefault="004F28E8">
      <w:pPr>
        <w:pStyle w:val="ListParagraph"/>
        <w:numPr>
          <w:ilvl w:val="0"/>
          <w:numId w:val="1"/>
        </w:numPr>
        <w:tabs>
          <w:tab w:val="left" w:pos="527"/>
          <w:tab w:val="left" w:pos="528"/>
        </w:tabs>
        <w:ind w:hanging="364"/>
        <w:rPr>
          <w:sz w:val="18"/>
        </w:rPr>
      </w:pPr>
      <w:r>
        <w:rPr>
          <w:sz w:val="18"/>
        </w:rPr>
        <w:t>Volume of Milk at each</w:t>
      </w:r>
      <w:r>
        <w:rPr>
          <w:spacing w:val="-16"/>
          <w:sz w:val="18"/>
        </w:rPr>
        <w:t xml:space="preserve"> </w:t>
      </w:r>
      <w:r>
        <w:rPr>
          <w:sz w:val="18"/>
        </w:rPr>
        <w:t>collection.</w:t>
      </w:r>
    </w:p>
    <w:p w14:paraId="7BE761BF" w14:textId="77777777" w:rsidR="00BD5B1B" w:rsidRDefault="004F28E8">
      <w:pPr>
        <w:pStyle w:val="ListParagraph"/>
        <w:numPr>
          <w:ilvl w:val="0"/>
          <w:numId w:val="1"/>
        </w:numPr>
        <w:tabs>
          <w:tab w:val="left" w:pos="527"/>
          <w:tab w:val="left" w:pos="528"/>
        </w:tabs>
        <w:ind w:hanging="364"/>
        <w:rPr>
          <w:sz w:val="18"/>
        </w:rPr>
      </w:pPr>
      <w:r>
        <w:rPr>
          <w:sz w:val="18"/>
        </w:rPr>
        <w:t>The level of demand for Milk in the Farmer’s farming</w:t>
      </w:r>
      <w:r>
        <w:rPr>
          <w:spacing w:val="-24"/>
          <w:sz w:val="18"/>
        </w:rPr>
        <w:t xml:space="preserve"> </w:t>
      </w:r>
      <w:r>
        <w:rPr>
          <w:sz w:val="18"/>
        </w:rPr>
        <w:t>region.</w:t>
      </w:r>
    </w:p>
    <w:p w14:paraId="7BE761C0" w14:textId="77777777" w:rsidR="00BD5B1B" w:rsidRDefault="004F28E8">
      <w:pPr>
        <w:pStyle w:val="ListParagraph"/>
        <w:numPr>
          <w:ilvl w:val="0"/>
          <w:numId w:val="1"/>
        </w:numPr>
        <w:tabs>
          <w:tab w:val="left" w:pos="527"/>
          <w:tab w:val="left" w:pos="528"/>
        </w:tabs>
        <w:spacing w:line="218" w:lineRule="exact"/>
        <w:ind w:hanging="364"/>
        <w:rPr>
          <w:sz w:val="18"/>
        </w:rPr>
      </w:pPr>
      <w:r>
        <w:rPr>
          <w:sz w:val="18"/>
        </w:rPr>
        <w:t>Availability and</w:t>
      </w:r>
      <w:r>
        <w:rPr>
          <w:spacing w:val="-1"/>
          <w:sz w:val="18"/>
        </w:rPr>
        <w:t xml:space="preserve"> </w:t>
      </w:r>
      <w:r>
        <w:rPr>
          <w:sz w:val="18"/>
        </w:rPr>
        <w:t>proximity</w:t>
      </w:r>
      <w:r>
        <w:rPr>
          <w:spacing w:val="-1"/>
          <w:sz w:val="18"/>
        </w:rPr>
        <w:t xml:space="preserve"> </w:t>
      </w:r>
      <w:r>
        <w:rPr>
          <w:sz w:val="18"/>
        </w:rPr>
        <w:t>of</w:t>
      </w:r>
      <w:r>
        <w:rPr>
          <w:spacing w:val="-5"/>
          <w:sz w:val="18"/>
        </w:rPr>
        <w:t xml:space="preserve"> </w:t>
      </w:r>
      <w:r>
        <w:rPr>
          <w:sz w:val="18"/>
        </w:rPr>
        <w:t>alternate</w:t>
      </w:r>
      <w:r>
        <w:rPr>
          <w:spacing w:val="-3"/>
          <w:sz w:val="18"/>
        </w:rPr>
        <w:t xml:space="preserve"> </w:t>
      </w:r>
      <w:r>
        <w:rPr>
          <w:sz w:val="18"/>
        </w:rPr>
        <w:t>milk</w:t>
      </w:r>
      <w:r>
        <w:rPr>
          <w:spacing w:val="-4"/>
          <w:sz w:val="18"/>
        </w:rPr>
        <w:t xml:space="preserve"> </w:t>
      </w:r>
      <w:r>
        <w:rPr>
          <w:sz w:val="18"/>
        </w:rPr>
        <w:t>sources</w:t>
      </w:r>
      <w:r>
        <w:rPr>
          <w:spacing w:val="1"/>
          <w:sz w:val="18"/>
        </w:rPr>
        <w:t xml:space="preserve"> </w:t>
      </w:r>
      <w:r>
        <w:rPr>
          <w:sz w:val="18"/>
        </w:rPr>
        <w:t>(</w:t>
      </w:r>
      <w:proofErr w:type="gramStart"/>
      <w:r>
        <w:rPr>
          <w:sz w:val="18"/>
        </w:rPr>
        <w:t>e.g.</w:t>
      </w:r>
      <w:proofErr w:type="gramEnd"/>
      <w:r>
        <w:rPr>
          <w:spacing w:val="-2"/>
          <w:sz w:val="18"/>
        </w:rPr>
        <w:t xml:space="preserve"> </w:t>
      </w:r>
      <w:r>
        <w:rPr>
          <w:sz w:val="18"/>
        </w:rPr>
        <w:t>ease</w:t>
      </w:r>
      <w:r>
        <w:rPr>
          <w:spacing w:val="-6"/>
          <w:sz w:val="18"/>
        </w:rPr>
        <w:t xml:space="preserve"> </w:t>
      </w:r>
      <w:r>
        <w:rPr>
          <w:sz w:val="18"/>
        </w:rPr>
        <w:t>with</w:t>
      </w:r>
      <w:r>
        <w:rPr>
          <w:spacing w:val="-1"/>
          <w:sz w:val="18"/>
        </w:rPr>
        <w:t xml:space="preserve"> </w:t>
      </w:r>
      <w:r>
        <w:rPr>
          <w:sz w:val="18"/>
        </w:rPr>
        <w:t>which</w:t>
      </w:r>
      <w:r>
        <w:rPr>
          <w:spacing w:val="-1"/>
          <w:sz w:val="18"/>
        </w:rPr>
        <w:t xml:space="preserve"> </w:t>
      </w:r>
      <w:r>
        <w:rPr>
          <w:sz w:val="18"/>
        </w:rPr>
        <w:t>Saint</w:t>
      </w:r>
      <w:r>
        <w:rPr>
          <w:spacing w:val="-5"/>
          <w:sz w:val="18"/>
        </w:rPr>
        <w:t xml:space="preserve"> </w:t>
      </w:r>
      <w:r>
        <w:rPr>
          <w:sz w:val="18"/>
        </w:rPr>
        <w:t>David Dairy</w:t>
      </w:r>
      <w:r>
        <w:rPr>
          <w:spacing w:val="-3"/>
          <w:sz w:val="18"/>
        </w:rPr>
        <w:t xml:space="preserve"> </w:t>
      </w:r>
      <w:r>
        <w:rPr>
          <w:sz w:val="18"/>
        </w:rPr>
        <w:t>can</w:t>
      </w:r>
      <w:r>
        <w:rPr>
          <w:spacing w:val="-3"/>
          <w:sz w:val="18"/>
        </w:rPr>
        <w:t xml:space="preserve"> </w:t>
      </w:r>
      <w:r>
        <w:rPr>
          <w:sz w:val="18"/>
        </w:rPr>
        <w:t>source</w:t>
      </w:r>
      <w:r>
        <w:rPr>
          <w:spacing w:val="-4"/>
          <w:sz w:val="18"/>
        </w:rPr>
        <w:t xml:space="preserve"> </w:t>
      </w:r>
      <w:r>
        <w:rPr>
          <w:sz w:val="18"/>
        </w:rPr>
        <w:t>Milk</w:t>
      </w:r>
      <w:r>
        <w:rPr>
          <w:spacing w:val="-2"/>
          <w:sz w:val="18"/>
        </w:rPr>
        <w:t xml:space="preserve"> </w:t>
      </w:r>
      <w:r>
        <w:rPr>
          <w:sz w:val="18"/>
        </w:rPr>
        <w:t>from</w:t>
      </w:r>
      <w:r>
        <w:rPr>
          <w:spacing w:val="-1"/>
          <w:sz w:val="18"/>
        </w:rPr>
        <w:t xml:space="preserve"> </w:t>
      </w:r>
      <w:r>
        <w:rPr>
          <w:sz w:val="18"/>
        </w:rPr>
        <w:t>other</w:t>
      </w:r>
      <w:r>
        <w:rPr>
          <w:spacing w:val="-5"/>
          <w:sz w:val="18"/>
        </w:rPr>
        <w:t xml:space="preserve"> </w:t>
      </w:r>
      <w:r>
        <w:rPr>
          <w:sz w:val="18"/>
        </w:rPr>
        <w:t>farming</w:t>
      </w:r>
      <w:r>
        <w:rPr>
          <w:spacing w:val="-1"/>
          <w:sz w:val="18"/>
        </w:rPr>
        <w:t xml:space="preserve"> </w:t>
      </w:r>
      <w:r>
        <w:rPr>
          <w:sz w:val="18"/>
        </w:rPr>
        <w:t>regions).</w:t>
      </w:r>
    </w:p>
    <w:p w14:paraId="7BE761C1" w14:textId="77777777" w:rsidR="00BD5B1B" w:rsidRDefault="004F28E8">
      <w:pPr>
        <w:pStyle w:val="ListParagraph"/>
        <w:numPr>
          <w:ilvl w:val="0"/>
          <w:numId w:val="1"/>
        </w:numPr>
        <w:tabs>
          <w:tab w:val="left" w:pos="527"/>
          <w:tab w:val="left" w:pos="528"/>
        </w:tabs>
        <w:ind w:hanging="364"/>
        <w:rPr>
          <w:sz w:val="18"/>
        </w:rPr>
      </w:pPr>
      <w:r>
        <w:rPr>
          <w:sz w:val="18"/>
        </w:rPr>
        <w:t>The level of consumer demand for Saint David Dairy’s finished</w:t>
      </w:r>
      <w:r>
        <w:rPr>
          <w:spacing w:val="-18"/>
          <w:sz w:val="18"/>
        </w:rPr>
        <w:t xml:space="preserve"> </w:t>
      </w:r>
      <w:r>
        <w:rPr>
          <w:sz w:val="18"/>
        </w:rPr>
        <w:t>products.</w:t>
      </w:r>
    </w:p>
    <w:sectPr w:rsidR="00BD5B1B">
      <w:pgSz w:w="16850" w:h="11920" w:orient="landscape"/>
      <w:pgMar w:top="11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33CA8"/>
    <w:multiLevelType w:val="hybridMultilevel"/>
    <w:tmpl w:val="6DD29496"/>
    <w:lvl w:ilvl="0" w:tplc="E024821A">
      <w:numFmt w:val="bullet"/>
      <w:lvlText w:val=""/>
      <w:lvlJc w:val="left"/>
      <w:pPr>
        <w:ind w:left="527" w:hanging="363"/>
      </w:pPr>
      <w:rPr>
        <w:rFonts w:ascii="Symbol" w:eastAsia="Symbol" w:hAnsi="Symbol" w:cs="Symbol" w:hint="default"/>
        <w:w w:val="100"/>
        <w:sz w:val="18"/>
        <w:szCs w:val="18"/>
        <w:lang w:val="en-US" w:eastAsia="en-US" w:bidi="ar-SA"/>
      </w:rPr>
    </w:lvl>
    <w:lvl w:ilvl="1" w:tplc="91168BDE">
      <w:numFmt w:val="bullet"/>
      <w:lvlText w:val="•"/>
      <w:lvlJc w:val="left"/>
      <w:pPr>
        <w:ind w:left="1886" w:hanging="363"/>
      </w:pPr>
      <w:rPr>
        <w:rFonts w:hint="default"/>
        <w:lang w:val="en-US" w:eastAsia="en-US" w:bidi="ar-SA"/>
      </w:rPr>
    </w:lvl>
    <w:lvl w:ilvl="2" w:tplc="30A477B6">
      <w:numFmt w:val="bullet"/>
      <w:lvlText w:val="•"/>
      <w:lvlJc w:val="left"/>
      <w:pPr>
        <w:ind w:left="3252" w:hanging="363"/>
      </w:pPr>
      <w:rPr>
        <w:rFonts w:hint="default"/>
        <w:lang w:val="en-US" w:eastAsia="en-US" w:bidi="ar-SA"/>
      </w:rPr>
    </w:lvl>
    <w:lvl w:ilvl="3" w:tplc="0D781C28">
      <w:numFmt w:val="bullet"/>
      <w:lvlText w:val="•"/>
      <w:lvlJc w:val="left"/>
      <w:pPr>
        <w:ind w:left="4618" w:hanging="363"/>
      </w:pPr>
      <w:rPr>
        <w:rFonts w:hint="default"/>
        <w:lang w:val="en-US" w:eastAsia="en-US" w:bidi="ar-SA"/>
      </w:rPr>
    </w:lvl>
    <w:lvl w:ilvl="4" w:tplc="AE4286F2">
      <w:numFmt w:val="bullet"/>
      <w:lvlText w:val="•"/>
      <w:lvlJc w:val="left"/>
      <w:pPr>
        <w:ind w:left="5984" w:hanging="363"/>
      </w:pPr>
      <w:rPr>
        <w:rFonts w:hint="default"/>
        <w:lang w:val="en-US" w:eastAsia="en-US" w:bidi="ar-SA"/>
      </w:rPr>
    </w:lvl>
    <w:lvl w:ilvl="5" w:tplc="7F66E3E4">
      <w:numFmt w:val="bullet"/>
      <w:lvlText w:val="•"/>
      <w:lvlJc w:val="left"/>
      <w:pPr>
        <w:ind w:left="7350" w:hanging="363"/>
      </w:pPr>
      <w:rPr>
        <w:rFonts w:hint="default"/>
        <w:lang w:val="en-US" w:eastAsia="en-US" w:bidi="ar-SA"/>
      </w:rPr>
    </w:lvl>
    <w:lvl w:ilvl="6" w:tplc="67E2A3A2">
      <w:numFmt w:val="bullet"/>
      <w:lvlText w:val="•"/>
      <w:lvlJc w:val="left"/>
      <w:pPr>
        <w:ind w:left="8716" w:hanging="363"/>
      </w:pPr>
      <w:rPr>
        <w:rFonts w:hint="default"/>
        <w:lang w:val="en-US" w:eastAsia="en-US" w:bidi="ar-SA"/>
      </w:rPr>
    </w:lvl>
    <w:lvl w:ilvl="7" w:tplc="1BD28D82">
      <w:numFmt w:val="bullet"/>
      <w:lvlText w:val="•"/>
      <w:lvlJc w:val="left"/>
      <w:pPr>
        <w:ind w:left="10082" w:hanging="363"/>
      </w:pPr>
      <w:rPr>
        <w:rFonts w:hint="default"/>
        <w:lang w:val="en-US" w:eastAsia="en-US" w:bidi="ar-SA"/>
      </w:rPr>
    </w:lvl>
    <w:lvl w:ilvl="8" w:tplc="38629448">
      <w:numFmt w:val="bullet"/>
      <w:lvlText w:val="•"/>
      <w:lvlJc w:val="left"/>
      <w:pPr>
        <w:ind w:left="11448" w:hanging="363"/>
      </w:pPr>
      <w:rPr>
        <w:rFonts w:hint="default"/>
        <w:lang w:val="en-US" w:eastAsia="en-US" w:bidi="ar-SA"/>
      </w:rPr>
    </w:lvl>
  </w:abstractNum>
  <w:num w:numId="1" w16cid:durableId="74491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D5B1B"/>
    <w:rsid w:val="0062074F"/>
    <w:rsid w:val="00BD5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6181"/>
  <w15:docId w15:val="{A82AB354-D0A0-4D07-A545-2EDB2446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00"/>
      <w:outlineLvl w:val="0"/>
    </w:pPr>
    <w:rPr>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7"/>
    </w:pPr>
    <w:rPr>
      <w:sz w:val="18"/>
      <w:szCs w:val="18"/>
    </w:rPr>
  </w:style>
  <w:style w:type="paragraph" w:styleId="ListParagraph">
    <w:name w:val="List Paragraph"/>
    <w:basedOn w:val="Normal"/>
    <w:uiPriority w:val="1"/>
    <w:qFormat/>
    <w:pPr>
      <w:spacing w:line="219" w:lineRule="exact"/>
      <w:ind w:left="527" w:hanging="364"/>
    </w:pPr>
  </w:style>
  <w:style w:type="paragraph" w:customStyle="1" w:styleId="TableParagraph">
    <w:name w:val="Table Paragraph"/>
    <w:basedOn w:val="Normal"/>
    <w:uiPriority w:val="1"/>
    <w:qFormat/>
    <w:pPr>
      <w:spacing w:before="59"/>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Longtable Group</dc:creator>
  <cp:lastModifiedBy>Punsara Sagarage</cp:lastModifiedBy>
  <cp:revision>2</cp:revision>
  <dcterms:created xsi:type="dcterms:W3CDTF">2022-06-08T06:52:00Z</dcterms:created>
  <dcterms:modified xsi:type="dcterms:W3CDTF">2022-06-08T06:52:00Z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2019</vt:lpwstr>
  </property>
  <property fmtid="{D5CDD505-2E9C-101B-9397-08002B2CF9AE}" pid="4" name="LastSaved">
    <vt:filetime>2022-06-08T00:00:00Z</vt:filetime>
  </property>
</Properties>
</file>